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DA16" w14:textId="1D048D93" w:rsidR="00EC0334" w:rsidRPr="00EC0334" w:rsidRDefault="00C22983" w:rsidP="00EC033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11.</w:t>
      </w:r>
      <w:r w:rsidR="00010558" w:rsidRPr="00010558">
        <w:rPr>
          <w:lang w:val="kk-KZ" w:eastAsia="ar-SA"/>
        </w:rPr>
        <w:t xml:space="preserve"> </w:t>
      </w:r>
      <w:r w:rsidR="00010558" w:rsidRPr="00010558">
        <w:rPr>
          <w:rFonts w:ascii="Times New Roman" w:hAnsi="Times New Roman" w:cs="Times New Roman"/>
          <w:sz w:val="28"/>
          <w:szCs w:val="28"/>
          <w:lang w:val="kk-KZ" w:eastAsia="ar-SA"/>
        </w:rPr>
        <w:t>Бостон консультативтік тобының матрицасы</w:t>
      </w:r>
      <w:r w:rsidR="00EC0334">
        <w:rPr>
          <w:rFonts w:ascii="Times New Roman" w:hAnsi="Times New Roman" w:cs="Times New Roman"/>
          <w:sz w:val="28"/>
          <w:szCs w:val="28"/>
          <w:lang w:val="kk-KZ"/>
        </w:rPr>
        <w:t>С</w:t>
      </w:r>
      <w:r w:rsidR="00EC0334">
        <w:rPr>
          <w:rFonts w:ascii="Times New Roman" w:hAnsi="Times New Roman" w:cs="Times New Roman"/>
          <w:b/>
          <w:bCs/>
          <w:sz w:val="24"/>
          <w:szCs w:val="24"/>
          <w:lang w:val="kk-KZ"/>
        </w:rPr>
        <w:t>сұрақтар:</w:t>
      </w:r>
    </w:p>
    <w:p w14:paraId="661251AF" w14:textId="77777777" w:rsidR="00EC0334" w:rsidRDefault="00EC0334" w:rsidP="00EC0334">
      <w:pPr>
        <w:pStyle w:val="ab"/>
        <w:numPr>
          <w:ilvl w:val="1"/>
          <w:numId w:val="1"/>
        </w:numPr>
        <w:spacing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rPr>
        <w:t xml:space="preserve">Мемлекеттік басқару жүйесінде </w:t>
      </w:r>
      <w:r>
        <w:rPr>
          <w:rFonts w:ascii="Times New Roman" w:hAnsi="Times New Roman" w:cs="Times New Roman"/>
          <w:sz w:val="24"/>
          <w:szCs w:val="24"/>
          <w:lang w:val="kk-KZ" w:eastAsia="ar-SA"/>
        </w:rPr>
        <w:t>Бостон консультативтік тобының матрицасы</w:t>
      </w:r>
      <w:r>
        <w:rPr>
          <w:rFonts w:ascii="Times New Roman" w:hAnsi="Times New Roman" w:cs="Times New Roman"/>
          <w:b/>
          <w:bCs/>
          <w:sz w:val="24"/>
          <w:szCs w:val="24"/>
          <w:lang w:val="kk-KZ" w:eastAsia="ar-SA"/>
        </w:rPr>
        <w:t xml:space="preserve"> </w:t>
      </w:r>
    </w:p>
    <w:p w14:paraId="67D4A2A7" w14:textId="77777777" w:rsidR="00EC0334" w:rsidRDefault="00EC0334" w:rsidP="00EC0334">
      <w:pPr>
        <w:pStyle w:val="ab"/>
        <w:numPr>
          <w:ilvl w:val="1"/>
          <w:numId w:val="1"/>
        </w:numPr>
        <w:spacing w:line="254" w:lineRule="auto"/>
        <w:rPr>
          <w:rFonts w:ascii="Times New Roman" w:hAnsi="Times New Roman" w:cs="Times New Roman"/>
          <w:b/>
          <w:bCs/>
          <w:sz w:val="24"/>
          <w:szCs w:val="24"/>
          <w:lang w:val="kk-KZ"/>
        </w:rPr>
      </w:pPr>
      <w:r>
        <w:rPr>
          <w:rFonts w:ascii="Times New Roman" w:hAnsi="Times New Roman" w:cs="Times New Roman"/>
          <w:sz w:val="24"/>
          <w:szCs w:val="24"/>
          <w:lang w:val="kk-KZ" w:eastAsia="ar-SA"/>
        </w:rPr>
        <w:t>Бостон консультативтік тобының матрицасының ерекшеліктері</w:t>
      </w:r>
      <w:r>
        <w:rPr>
          <w:rFonts w:ascii="Times New Roman" w:hAnsi="Times New Roman" w:cs="Times New Roman"/>
          <w:b/>
          <w:bCs/>
          <w:sz w:val="24"/>
          <w:szCs w:val="24"/>
          <w:lang w:val="kk-KZ" w:eastAsia="ar-SA"/>
        </w:rPr>
        <w:t xml:space="preserve"> </w:t>
      </w:r>
    </w:p>
    <w:p w14:paraId="6370D913" w14:textId="77777777" w:rsidR="00EC0334" w:rsidRDefault="00EC0334" w:rsidP="00EC0334">
      <w:pPr>
        <w:pStyle w:val="ab"/>
        <w:ind w:left="1440"/>
        <w:rPr>
          <w:rFonts w:ascii="Times New Roman" w:hAnsi="Times New Roman" w:cs="Times New Roman"/>
          <w:b/>
          <w:bCs/>
          <w:sz w:val="24"/>
          <w:szCs w:val="24"/>
          <w:lang w:val="kk-KZ"/>
        </w:rPr>
      </w:pPr>
    </w:p>
    <w:p w14:paraId="6E68C94E" w14:textId="77777777" w:rsidR="00EC0334" w:rsidRDefault="00EC0334" w:rsidP="00EC0334">
      <w:pPr>
        <w:rPr>
          <w:rFonts w:ascii="Times New Roman" w:hAnsi="Times New Roman" w:cs="Times New Roman"/>
          <w:b/>
          <w:bCs/>
          <w:sz w:val="24"/>
          <w:szCs w:val="24"/>
          <w:lang w:val="kk-KZ"/>
        </w:rPr>
      </w:pPr>
      <w:r>
        <w:rPr>
          <w:rFonts w:ascii="Times New Roman" w:hAnsi="Times New Roman" w:cs="Times New Roman"/>
          <w:b/>
          <w:bCs/>
          <w:sz w:val="24"/>
          <w:szCs w:val="24"/>
          <w:lang w:val="kk-KZ"/>
        </w:rPr>
        <w:t>Сабақ мақсаты-</w:t>
      </w:r>
      <w:r>
        <w:rPr>
          <w:rFonts w:ascii="Times New Roman" w:hAnsi="Times New Roman" w:cs="Times New Roman"/>
          <w:sz w:val="24"/>
          <w:szCs w:val="24"/>
          <w:lang w:val="kk-KZ"/>
        </w:rPr>
        <w:t xml:space="preserve"> докторанттарға</w:t>
      </w:r>
      <w:r>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 xml:space="preserve">   Бостон консультативтік тобының матрицасы                      талқылау</w:t>
      </w:r>
    </w:p>
    <w:p w14:paraId="7B44AA21" w14:textId="77777777" w:rsidR="00EC0334" w:rsidRDefault="00EC0334" w:rsidP="00EC0334">
      <w:pPr>
        <w:pStyle w:val="ab"/>
        <w:ind w:left="1440"/>
        <w:rPr>
          <w:rFonts w:ascii="Times New Roman" w:hAnsi="Times New Roman" w:cs="Times New Roman"/>
          <w:b/>
          <w:bCs/>
          <w:sz w:val="24"/>
          <w:szCs w:val="24"/>
          <w:lang w:val="kk-KZ"/>
        </w:rPr>
      </w:pPr>
    </w:p>
    <w:p w14:paraId="6BDC42F1" w14:textId="77777777" w:rsidR="00EC0334" w:rsidRDefault="00EC0334" w:rsidP="00EC0334">
      <w:pPr>
        <w:shd w:val="clear" w:color="auto" w:fill="FFFFFF"/>
        <w:spacing w:after="0" w:line="240" w:lineRule="auto"/>
        <w:rPr>
          <w:rFonts w:ascii="Arial" w:eastAsia="Times New Roman" w:hAnsi="Arial" w:cs="Arial"/>
          <w:color w:val="444444"/>
          <w:lang w:val="kk-KZ" w:eastAsia="ru-RU"/>
        </w:rPr>
      </w:pPr>
      <w:r>
        <w:rPr>
          <w:rFonts w:ascii="Arial" w:eastAsia="Times New Roman" w:hAnsi="Arial" w:cs="Arial"/>
          <w:b/>
          <w:bCs/>
          <w:color w:val="444444"/>
          <w:bdr w:val="none" w:sz="0" w:space="0" w:color="auto" w:frame="1"/>
          <w:lang w:val="kk-KZ" w:eastAsia="ru-RU"/>
        </w:rPr>
        <w:t>Бостонның консалтинг тобының моделі</w:t>
      </w:r>
      <w:r>
        <w:rPr>
          <w:rFonts w:ascii="Arial" w:eastAsia="Times New Roman" w:hAnsi="Arial" w:cs="Arial"/>
          <w:color w:val="444444"/>
          <w:lang w:val="kk-KZ" w:eastAsia="ru-RU"/>
        </w:rPr>
        <w:t> компанияның ресурстарың тиімді басқаруға және компанияның өнімдерің баланстауға арналған әдіс.</w:t>
      </w:r>
    </w:p>
    <w:p w14:paraId="7C00FF40" w14:textId="77777777" w:rsidR="00EC0334" w:rsidRPr="00EC0334" w:rsidRDefault="00EC0334" w:rsidP="00EC0334">
      <w:pPr>
        <w:shd w:val="clear" w:color="auto" w:fill="FFFFFF"/>
        <w:spacing w:after="105"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Осы модель ірі компанияның құрамында әртүрлі бағытта жұмыс істейтің бірнеше бөлімшелері бар деп тұжырымдалады. Әрбір бөлімше өз тауарың шығарады.</w:t>
      </w:r>
    </w:p>
    <w:p w14:paraId="4D4D2313"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Бөлімшенің 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салыстырмалы нарықтық үлесі деп, бөлімшенің нарықтық M</w:t>
      </w:r>
      <w:r w:rsidRPr="00EC0334">
        <w:rPr>
          <w:rFonts w:ascii="Arial" w:eastAsia="Times New Roman" w:hAnsi="Arial" w:cs="Arial"/>
          <w:color w:val="444444"/>
          <w:bdr w:val="none" w:sz="0" w:space="0" w:color="auto" w:frame="1"/>
          <w:vertAlign w:val="subscript"/>
          <w:lang w:val="kk-KZ" w:eastAsia="ru-RU"/>
        </w:rPr>
        <w:t>1</w:t>
      </w:r>
      <w:r w:rsidRPr="00EC0334">
        <w:rPr>
          <w:rFonts w:ascii="Arial" w:eastAsia="Times New Roman" w:hAnsi="Arial" w:cs="Arial"/>
          <w:color w:val="444444"/>
          <w:lang w:val="kk-KZ" w:eastAsia="ru-RU"/>
        </w:rPr>
        <w:t> үлесің, осы бөлімшеге бәсекелес басқа компанияның (осы салада ең үлкен үлеске ие бәсекелес компанияның) M</w:t>
      </w:r>
      <w:r w:rsidRPr="00EC0334">
        <w:rPr>
          <w:rFonts w:ascii="Arial" w:eastAsia="Times New Roman" w:hAnsi="Arial" w:cs="Arial"/>
          <w:color w:val="444444"/>
          <w:bdr w:val="none" w:sz="0" w:space="0" w:color="auto" w:frame="1"/>
          <w:vertAlign w:val="subscript"/>
          <w:lang w:val="kk-KZ" w:eastAsia="ru-RU"/>
        </w:rPr>
        <w:t>2</w:t>
      </w:r>
      <w:r w:rsidRPr="00EC0334">
        <w:rPr>
          <w:rFonts w:ascii="Arial" w:eastAsia="Times New Roman" w:hAnsi="Arial" w:cs="Arial"/>
          <w:color w:val="444444"/>
          <w:lang w:val="kk-KZ" w:eastAsia="ru-RU"/>
        </w:rPr>
        <w:t> нарықтық үлесінің бөлімдісіне тең шама:</w:t>
      </w:r>
    </w:p>
    <w:p w14:paraId="23476E3D"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 M</w:t>
      </w:r>
      <w:r w:rsidRPr="00EC0334">
        <w:rPr>
          <w:rFonts w:ascii="Arial" w:eastAsia="Times New Roman" w:hAnsi="Arial" w:cs="Arial"/>
          <w:color w:val="444444"/>
          <w:bdr w:val="none" w:sz="0" w:space="0" w:color="auto" w:frame="1"/>
          <w:vertAlign w:val="subscript"/>
          <w:lang w:val="kk-KZ" w:eastAsia="ru-RU"/>
        </w:rPr>
        <w:t>1</w:t>
      </w: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2</w:t>
      </w:r>
    </w:p>
    <w:p w14:paraId="065CE7F1"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&gt; 1 болса, онда компанияның салыстырмалы нарықтық үлесі жоғары, яғни команияның нарықтағы үлесі өзге бәсекелестердің үлестерінең артық болса. Ал 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&lt; 1 болса, онда компанияның салыстырмалы нарықтық үлесі төмен деп есептелінеді.</w:t>
      </w:r>
    </w:p>
    <w:p w14:paraId="353AAA7F" w14:textId="77777777" w:rsidR="00EC0334" w:rsidRPr="00EC0334" w:rsidRDefault="00EC0334" w:rsidP="00EC0334">
      <w:pPr>
        <w:shd w:val="clear" w:color="auto" w:fill="FFFFFF"/>
        <w:spacing w:after="105"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Жазықтықтың горизонталь өсің компаниялардың салыстырмалы нарықтық үлестері етіп, ал вертикаль өсті саланың өсу темпі етіп бекітейік:</w:t>
      </w:r>
    </w:p>
    <w:p w14:paraId="26AB887B" w14:textId="77777777" w:rsidR="00EC0334" w:rsidRPr="00EC0334" w:rsidRDefault="00EC0334" w:rsidP="00EC0334">
      <w:pPr>
        <w:spacing w:after="0" w:line="240" w:lineRule="auto"/>
        <w:rPr>
          <w:rFonts w:ascii="Times New Roman" w:hAnsi="Times New Roman" w:cs="Times New Roman"/>
          <w:b/>
          <w:bCs/>
          <w:sz w:val="24"/>
          <w:szCs w:val="24"/>
          <w:lang w:val="kk-KZ"/>
        </w:rPr>
      </w:pPr>
    </w:p>
    <w:p w14:paraId="1D9F8EF5" w14:textId="77777777" w:rsidR="00EC0334" w:rsidRDefault="00EC0334" w:rsidP="00EC0334">
      <w:pPr>
        <w:shd w:val="clear" w:color="auto" w:fill="FFFFFF"/>
        <w:spacing w:after="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Негізгі қағидалар </w:t>
      </w:r>
      <w:r>
        <w:rPr>
          <w:rFonts w:ascii="OpenSans" w:eastAsia="Times New Roman" w:hAnsi="OpenSans" w:cs="Times New Roman"/>
          <w:color w:val="000000"/>
          <w:lang w:eastAsia="ru-RU"/>
        </w:rPr>
        <w:fldChar w:fldCharType="begin"/>
      </w:r>
      <w:r w:rsidRPr="00EC0334">
        <w:rPr>
          <w:rFonts w:ascii="OpenSans" w:eastAsia="Times New Roman" w:hAnsi="OpenSans" w:cs="Times New Roman"/>
          <w:color w:val="000000"/>
          <w:lang w:val="kk-KZ" w:eastAsia="ru-RU"/>
        </w:rPr>
        <w:instrText xml:space="preserve"> HYPERLINK "https://koreajob.ru/kk/ponyatie-i-sushchnost-strategicheskogo-i-innovacionnogo-planirovaniya-strategicheskoe-upravlenie-i-innova/" </w:instrText>
      </w:r>
      <w:r>
        <w:rPr>
          <w:rFonts w:ascii="OpenSans" w:eastAsia="Times New Roman" w:hAnsi="OpenSans" w:cs="Times New Roman"/>
          <w:color w:val="000000"/>
          <w:lang w:eastAsia="ru-RU"/>
        </w:rPr>
        <w:fldChar w:fldCharType="separate"/>
      </w:r>
      <w:r>
        <w:rPr>
          <w:rStyle w:val="af5"/>
          <w:rFonts w:ascii="OpenSans" w:eastAsia="Times New Roman" w:hAnsi="OpenSans" w:cs="Times New Roman"/>
          <w:color w:val="0044CC"/>
          <w:lang w:val="kk-KZ" w:eastAsia="ru-RU"/>
        </w:rPr>
        <w:t>стратегиялық басқару</w:t>
      </w:r>
      <w:r>
        <w:rPr>
          <w:rFonts w:ascii="OpenSans" w:eastAsia="Times New Roman" w:hAnsi="OpenSans" w:cs="Times New Roman"/>
          <w:color w:val="000000"/>
          <w:lang w:eastAsia="ru-RU"/>
        </w:rPr>
        <w:fldChar w:fldCharType="end"/>
      </w:r>
      <w:r>
        <w:rPr>
          <w:rFonts w:ascii="OpenSans" w:eastAsia="Times New Roman" w:hAnsi="OpenSans" w:cs="Times New Roman"/>
          <w:color w:val="000000"/>
          <w:lang w:val="kk-KZ" w:eastAsia="ru-RU"/>
        </w:rPr>
        <w:t> мыналар:</w:t>
      </w:r>
    </w:p>
    <w:p w14:paraId="0D3C104B"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1. Негізгі мақсаттар мен міндеттерді белгілеуде, оларды жүзеге асырудың бағдарламасын құруда қолданылатын компания мен қоршаған ортаның бірлігі туралы жорамал.</w:t>
      </w:r>
    </w:p>
    <w:p w14:paraId="5449C511"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2. Болашақ жоспарын, компанияның миссиясын, оның сапалық жаһандық мақсаттарын іске асыруға, бәсекеге қабілеттілікке қол жеткізуге бағыттау.</w:t>
      </w:r>
    </w:p>
    <w:p w14:paraId="2D1A0361"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3. Стратегияларды құру және таңдау кезінде, ол жұмыс істейтін нарықтардың ерекшеліктерін, оның стратегиялық әлеуетін ескеру.</w:t>
      </w:r>
    </w:p>
    <w:p w14:paraId="5A0070C9"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Бүгінгі күні стратегиялық басқарудың екі тәсілі пайда болды.</w:t>
      </w:r>
    </w:p>
    <w:p w14:paraId="5DF3B2F9"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Дәстүрлі тәсіл фирмалар өздерінің мықты жақтарын қолданыстағы бәсекелестік ортадағы стратегиялық серпіліс, олардың алдында ашылатын мүмкіндіктер үшін пайдаланады деп болжайды.</w:t>
      </w:r>
    </w:p>
    <w:p w14:paraId="6925E022" w14:textId="77777777" w:rsidR="00EC0334" w:rsidRPr="00EC0334" w:rsidRDefault="00EC0334" w:rsidP="00EC0334">
      <w:pPr>
        <w:shd w:val="clear" w:color="auto" w:fill="FFFFFF"/>
        <w:spacing w:after="0" w:line="240" w:lineRule="auto"/>
        <w:rPr>
          <w:rFonts w:ascii="OpenSans" w:eastAsia="Times New Roman" w:hAnsi="OpenSans" w:cs="Times New Roman"/>
          <w:color w:val="000000"/>
          <w:lang w:val="kk-KZ" w:eastAsia="ru-RU"/>
        </w:rPr>
      </w:pPr>
      <w:hyperlink r:id="rId5" w:history="1">
        <w:r w:rsidRPr="00EC0334">
          <w:rPr>
            <w:rStyle w:val="af5"/>
            <w:rFonts w:ascii="OpenSans" w:eastAsia="Times New Roman" w:hAnsi="OpenSans" w:cs="Times New Roman"/>
            <w:color w:val="0044CC"/>
            <w:lang w:val="kk-KZ" w:eastAsia="ru-RU"/>
          </w:rPr>
          <w:t>Заманауи тәсіл</w:t>
        </w:r>
      </w:hyperlink>
      <w:r w:rsidRPr="00EC0334">
        <w:rPr>
          <w:rFonts w:ascii="OpenSans" w:eastAsia="Times New Roman" w:hAnsi="OpenSans" w:cs="Times New Roman"/>
          <w:color w:val="000000"/>
          <w:lang w:val="kk-KZ" w:eastAsia="ru-RU"/>
        </w:rPr>
        <w:t> компаниялар өздерінің ресурстарына манипуляция жасай отырып, өздері үшін осындай сыртқы ортаны қалыптастыратындығынан тұрады, оның қажеттіліктері олар өздері үшін үлкен пайда алып қанағаттандыра алады. Мысалы, монополиялар өз өнімдерінің жеткізілімін азайту және жасанды тапшылық тудыру арқылы бағаны көтеріп, артық пайда алу мүмкіндігіне ие.</w:t>
      </w:r>
    </w:p>
    <w:p w14:paraId="6D1464D8"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Басқаша айтқанда, екпін бірте-бірте болашаққа дайындықпен байланысты іс-әрекеттерден, оны мақсатты түрде қалыптастыру іс-әрекеттеріне ауысады. Сонымен қатар, компанияның, ақпараттық жүйелердің және үнемі қайта құрудың ең құнды ресурсы ретінде персоналға сенім артады.</w:t>
      </w:r>
    </w:p>
    <w:p w14:paraId="426DB345"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Стратегиялық менеджменттің объектісі келесі кезеңдерді қамтитын стратегиялық процесс болып табылады:</w:t>
      </w:r>
    </w:p>
    <w:p w14:paraId="05834133"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lastRenderedPageBreak/>
        <w:t>1) ол жұмыс істейтін фирманың ішкі және сыртқы ортасын зерттеу (стратегиялық талдау);</w:t>
      </w:r>
    </w:p>
    <w:p w14:paraId="176900EB"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2) миссияны анықтау, мақсат қою, стратегияларды құру және баламаларды қарастыру, сайып келгенде тиісті стратегиялық жоспарларды таңдау және құру (стратегиялық жоспарлау);</w:t>
      </w:r>
    </w:p>
    <w:p w14:paraId="32550479" w14:textId="77777777" w:rsidR="00EC0334" w:rsidRPr="00EC0334" w:rsidRDefault="00EC0334" w:rsidP="00EC0334">
      <w:pPr>
        <w:spacing w:after="0" w:line="240" w:lineRule="auto"/>
        <w:rPr>
          <w:rFonts w:ascii="Times New Roman" w:eastAsia="Times New Roman" w:hAnsi="Times New Roman" w:cs="Times New Roman"/>
          <w:sz w:val="24"/>
          <w:szCs w:val="24"/>
          <w:lang w:val="kk-KZ" w:eastAsia="ru-RU"/>
        </w:rPr>
      </w:pPr>
      <w:r w:rsidRPr="00EC0334">
        <w:rPr>
          <w:rFonts w:ascii="OpenSans" w:eastAsia="Times New Roman" w:hAnsi="OpenSans" w:cs="Times New Roman"/>
          <w:color w:val="000000"/>
          <w:sz w:val="24"/>
          <w:szCs w:val="24"/>
          <w:lang w:val="kk-KZ" w:eastAsia="ru-RU"/>
        </w:rPr>
        <w:br/>
      </w:r>
    </w:p>
    <w:p w14:paraId="02996C47"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3) жаңа ұйымдастырушылық құрылымды және басқару жүйесін құру, алға қойылған мақсаттарға жету үшін практикалық іс-шаралар, оның ішінде күтпеген жағдайларда, компанияны жаңа мемлекетке айналдыру, оның нәтижелерін бағалау, одан әрі қадамдарды түзету (стратегиялар мен жоспарлардың орындалуын басқару, немесе тар мағынада стратегиялық басқару ).</w:t>
      </w:r>
    </w:p>
    <w:p w14:paraId="52DB9CDC" w14:textId="77777777" w:rsidR="00EC0334" w:rsidRPr="00EC0334" w:rsidRDefault="00EC0334" w:rsidP="00EC0334">
      <w:pPr>
        <w:spacing w:after="0" w:line="240" w:lineRule="auto"/>
        <w:rPr>
          <w:rFonts w:ascii="Times New Roman" w:hAnsi="Times New Roman" w:cs="Times New Roman"/>
          <w:b/>
          <w:bCs/>
          <w:sz w:val="24"/>
          <w:szCs w:val="24"/>
          <w:lang w:val="kk-KZ"/>
        </w:rPr>
      </w:pPr>
    </w:p>
    <w:p w14:paraId="4E1D7F30" w14:textId="77777777" w:rsidR="00EC0334" w:rsidRDefault="00EC0334" w:rsidP="00EC0334">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5CA5280E" w14:textId="77777777" w:rsidR="00EC0334" w:rsidRDefault="00EC0334" w:rsidP="00EC0334">
      <w:pPr>
        <w:pStyle w:val="ab"/>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Қасым-Жомарт Тоқаев </w:t>
      </w:r>
      <w:r>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Pr>
          <w:rStyle w:val="a8"/>
          <w:b w:val="0"/>
          <w:bCs w:val="0"/>
          <w:sz w:val="24"/>
          <w:szCs w:val="24"/>
          <w:lang w:val="kk-KZ"/>
        </w:rPr>
        <w:t xml:space="preserve"> -Нұр-Сұлтан, 2020 ж. 1 қыркүйек</w:t>
      </w:r>
    </w:p>
    <w:p w14:paraId="46FE9633" w14:textId="77777777" w:rsidR="00EC0334" w:rsidRDefault="00EC0334" w:rsidP="00EC0334">
      <w:pPr>
        <w:pStyle w:val="ab"/>
        <w:numPr>
          <w:ilvl w:val="0"/>
          <w:numId w:val="2"/>
        </w:numPr>
        <w:tabs>
          <w:tab w:val="left" w:pos="0"/>
        </w:tabs>
        <w:autoSpaceDE w:val="0"/>
        <w:autoSpaceDN w:val="0"/>
        <w:adjustRightInd w:val="0"/>
        <w:spacing w:after="0" w:line="240" w:lineRule="auto"/>
        <w:ind w:left="0" w:firstLine="0"/>
        <w:jc w:val="both"/>
        <w:rPr>
          <w:rStyle w:val="af5"/>
          <w:sz w:val="22"/>
          <w:szCs w:val="22"/>
        </w:rPr>
      </w:pPr>
      <w:r>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fldChar w:fldCharType="begin"/>
      </w:r>
      <w:r>
        <w:instrText xml:space="preserve"> HYPERLINK "http://www.adilet.zan.kz" </w:instrText>
      </w:r>
      <w:r>
        <w:fldChar w:fldCharType="separate"/>
      </w:r>
      <w:r>
        <w:rPr>
          <w:rStyle w:val="af5"/>
          <w:rFonts w:ascii="Times New Roman" w:eastAsia="Times New Roman" w:hAnsi="Times New Roman" w:cs="Times New Roman"/>
          <w:spacing w:val="2"/>
          <w:sz w:val="24"/>
          <w:szCs w:val="24"/>
          <w:lang w:val="kk-KZ" w:eastAsia="kk-KZ"/>
        </w:rPr>
        <w:t>www.adilet.zan.kz</w:t>
      </w:r>
      <w:r>
        <w:fldChar w:fldCharType="end"/>
      </w:r>
    </w:p>
    <w:p w14:paraId="2FD4F8B2" w14:textId="77777777" w:rsidR="00EC0334" w:rsidRDefault="00EC0334" w:rsidP="00EC0334">
      <w:pPr>
        <w:pStyle w:val="ab"/>
        <w:numPr>
          <w:ilvl w:val="0"/>
          <w:numId w:val="2"/>
        </w:numPr>
        <w:tabs>
          <w:tab w:val="left" w:pos="0"/>
        </w:tabs>
        <w:autoSpaceDE w:val="0"/>
        <w:autoSpaceDN w:val="0"/>
        <w:adjustRightInd w:val="0"/>
        <w:spacing w:after="0" w:line="240" w:lineRule="auto"/>
        <w:ind w:left="0" w:firstLine="0"/>
        <w:jc w:val="both"/>
        <w:rPr>
          <w:color w:val="000000" w:themeColor="text1"/>
        </w:rPr>
      </w:pPr>
      <w:r>
        <w:rPr>
          <w:rStyle w:val="af5"/>
          <w:rFonts w:ascii="Times New Roman" w:eastAsia="Times New Roman" w:hAnsi="Times New Roman" w:cs="Times New Roman"/>
          <w:color w:val="000000" w:themeColor="text1"/>
          <w:spacing w:val="2"/>
          <w:sz w:val="24"/>
          <w:szCs w:val="24"/>
          <w:lang w:val="kk-KZ" w:eastAsia="kk-KZ"/>
        </w:rPr>
        <w:t>Қазақстан Республикасының тұрақты дамуының 2007-2024 жж. арналған тұжырымдамасы</w:t>
      </w:r>
      <w:r>
        <w:rPr>
          <w:rFonts w:ascii="Times New Roman" w:hAnsi="Times New Roman" w:cs="Times New Roman"/>
          <w:lang w:val="kk-KZ"/>
        </w:rPr>
        <w:t>\\</w:t>
      </w:r>
      <w:r>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18559A29" w14:textId="77777777" w:rsidR="00EC0334" w:rsidRDefault="00EC0334" w:rsidP="00EC0334">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2707D40A" w14:textId="77777777" w:rsidR="00EC0334" w:rsidRDefault="00EC0334" w:rsidP="00EC0334">
      <w:pPr>
        <w:pStyle w:val="2"/>
        <w:shd w:val="clear" w:color="auto" w:fill="FFFFFF"/>
        <w:spacing w:before="0"/>
        <w:rPr>
          <w:rFonts w:ascii="Times New Roman" w:hAnsi="Times New Roman" w:cs="Times New Roman"/>
          <w:color w:val="auto"/>
          <w:sz w:val="24"/>
          <w:szCs w:val="24"/>
        </w:rPr>
      </w:pPr>
      <w:r>
        <w:rPr>
          <w:rFonts w:ascii="Times New Roman" w:hAnsi="Times New Roman" w:cs="Times New Roman"/>
          <w:b/>
          <w:bCs/>
          <w:color w:val="auto"/>
          <w:sz w:val="24"/>
          <w:szCs w:val="24"/>
          <w:lang w:val="kk-KZ"/>
        </w:rPr>
        <w:t>5.</w:t>
      </w:r>
      <w:r>
        <w:rPr>
          <w:rFonts w:ascii="Times New Roman" w:hAnsi="Times New Roman" w:cs="Times New Roman"/>
          <w:b/>
          <w:bCs/>
          <w:color w:val="auto"/>
          <w:sz w:val="24"/>
          <w:szCs w:val="24"/>
        </w:rPr>
        <w:t xml:space="preserve">Грант Р. Современный стратегический </w:t>
      </w:r>
      <w:proofErr w:type="gramStart"/>
      <w:r>
        <w:rPr>
          <w:rFonts w:ascii="Times New Roman" w:hAnsi="Times New Roman" w:cs="Times New Roman"/>
          <w:b/>
          <w:bCs/>
          <w:color w:val="auto"/>
          <w:sz w:val="24"/>
          <w:szCs w:val="24"/>
        </w:rPr>
        <w:t>анализ  -</w:t>
      </w:r>
      <w:proofErr w:type="gramEnd"/>
      <w:r>
        <w:rPr>
          <w:rFonts w:ascii="Times New Roman" w:hAnsi="Times New Roman" w:cs="Times New Roman"/>
          <w:b/>
          <w:bCs/>
          <w:color w:val="auto"/>
          <w:sz w:val="24"/>
          <w:szCs w:val="24"/>
        </w:rPr>
        <w:t xml:space="preserve"> Санкт-Петербург : Питер, 2018 - 672 с. </w:t>
      </w:r>
    </w:p>
    <w:p w14:paraId="725E3F7F" w14:textId="77777777" w:rsidR="00EC0334" w:rsidRDefault="00EC0334" w:rsidP="00EC0334">
      <w:pPr>
        <w:spacing w:after="0"/>
        <w:rPr>
          <w:rFonts w:ascii="Times New Roman" w:hAnsi="Times New Roman" w:cs="Times New Roman"/>
          <w:sz w:val="24"/>
          <w:szCs w:val="24"/>
          <w:lang w:val="kk-KZ"/>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Грачева </w:t>
      </w:r>
      <w:proofErr w:type="gramStart"/>
      <w:r>
        <w:rPr>
          <w:rFonts w:ascii="Times New Roman" w:hAnsi="Times New Roman" w:cs="Times New Roman"/>
          <w:sz w:val="24"/>
          <w:szCs w:val="24"/>
          <w:lang w:val="kk-KZ"/>
        </w:rPr>
        <w:t>М.В.</w:t>
      </w:r>
      <w:proofErr w:type="gramEnd"/>
      <w:r>
        <w:rPr>
          <w:rFonts w:ascii="Times New Roman" w:hAnsi="Times New Roman" w:cs="Times New Roman"/>
          <w:sz w:val="24"/>
          <w:szCs w:val="24"/>
          <w:lang w:val="kk-KZ"/>
        </w:rPr>
        <w:t xml:space="preserve"> Актуальные направления и методы анализа экономических систем</w:t>
      </w:r>
    </w:p>
    <w:p w14:paraId="24B6F05C" w14:textId="77777777" w:rsidR="00EC0334" w:rsidRDefault="00EC0334" w:rsidP="00EC0334">
      <w:pPr>
        <w:pStyle w:val="ab"/>
        <w:numPr>
          <w:ilvl w:val="0"/>
          <w:numId w:val="3"/>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М.: Экономический факультет МГУ имени М.В. Ломоносова, 2020 - 308 с.</w:t>
      </w:r>
    </w:p>
    <w:p w14:paraId="192FD1C4" w14:textId="77777777" w:rsidR="00EC0334" w:rsidRDefault="00EC0334" w:rsidP="00EC0334">
      <w:pPr>
        <w:rPr>
          <w:rFonts w:ascii="Times New Roman" w:hAnsi="Times New Roman" w:cs="Times New Roman"/>
          <w:sz w:val="24"/>
          <w:szCs w:val="24"/>
          <w:lang w:val="kk-KZ"/>
        </w:rPr>
      </w:pPr>
      <w:r>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5A8F0599" w14:textId="77777777" w:rsidR="00EC0334" w:rsidRDefault="00EC0334" w:rsidP="00EC0334">
      <w:pPr>
        <w:rPr>
          <w:rFonts w:ascii="Times New Roman" w:eastAsia="Times New Roman" w:hAnsi="Times New Roman" w:cs="Times New Roman"/>
          <w:color w:val="434343"/>
          <w:lang w:val="kk-KZ"/>
        </w:rPr>
      </w:pPr>
      <w:r>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3BD69DAB" w14:textId="77777777" w:rsidR="00EC0334" w:rsidRDefault="00EC0334" w:rsidP="00EC0334">
      <w:pPr>
        <w:rPr>
          <w:rFonts w:ascii="Times New Roman" w:hAnsi="Times New Roman" w:cs="Times New Roman"/>
          <w:sz w:val="24"/>
          <w:szCs w:val="24"/>
        </w:rPr>
      </w:pPr>
      <w:r>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336B6FDB" w14:textId="77777777" w:rsidR="00EC0334" w:rsidRDefault="00EC0334" w:rsidP="00EC0334">
      <w:pPr>
        <w:pStyle w:val="ab"/>
        <w:autoSpaceDE w:val="0"/>
        <w:autoSpaceDN w:val="0"/>
        <w:adjustRightInd w:val="0"/>
        <w:spacing w:after="0"/>
        <w:ind w:left="0"/>
        <w:rPr>
          <w:rFonts w:ascii="Times New Roman" w:eastAsia="Newton-Regular" w:hAnsi="Times New Roman" w:cs="Times New Roman"/>
          <w:sz w:val="24"/>
          <w:szCs w:val="24"/>
        </w:rPr>
      </w:pPr>
      <w:r>
        <w:rPr>
          <w:rFonts w:ascii="Times New Roman" w:hAnsi="Times New Roman" w:cs="Times New Roman"/>
          <w:sz w:val="24"/>
          <w:szCs w:val="24"/>
          <w:lang w:val="kk-KZ"/>
        </w:rPr>
        <w:t>10. Кузнеццова Е.Ю.</w:t>
      </w:r>
      <w:r>
        <w:rPr>
          <w:rFonts w:ascii="Times New Roman" w:hAnsi="Times New Roman" w:cs="Times New Roman"/>
          <w:sz w:val="24"/>
          <w:szCs w:val="24"/>
        </w:rPr>
        <w:t xml:space="preserve"> Современный стратегический анализ</w:t>
      </w:r>
      <w:r>
        <w:rPr>
          <w:rFonts w:ascii="Times New Roman" w:eastAsia="Newton-Regular" w:hAnsi="Times New Roman" w:cs="Times New Roman"/>
          <w:sz w:val="24"/>
          <w:szCs w:val="24"/>
        </w:rPr>
        <w:t xml:space="preserve"> </w:t>
      </w:r>
      <w:r>
        <w:rPr>
          <w:rFonts w:ascii="Times New Roman" w:hAnsi="Times New Roman" w:cs="Times New Roman"/>
          <w:sz w:val="24"/>
          <w:szCs w:val="24"/>
        </w:rPr>
        <w:t>–</w:t>
      </w:r>
      <w:r>
        <w:rPr>
          <w:rFonts w:ascii="Times New Roman" w:eastAsia="Newton-Regular" w:hAnsi="Times New Roman" w:cs="Times New Roman"/>
          <w:sz w:val="24"/>
          <w:szCs w:val="24"/>
        </w:rPr>
        <w:t xml:space="preserve"> Екатеринбург: Изд-во Урал. ун-та, 2016. </w:t>
      </w:r>
      <w:r>
        <w:rPr>
          <w:rFonts w:ascii="Times New Roman" w:hAnsi="Times New Roman" w:cs="Times New Roman"/>
          <w:sz w:val="24"/>
          <w:szCs w:val="24"/>
        </w:rPr>
        <w:t>–</w:t>
      </w:r>
      <w:r>
        <w:rPr>
          <w:rFonts w:ascii="Times New Roman" w:eastAsia="Newton-Regular" w:hAnsi="Times New Roman" w:cs="Times New Roman"/>
          <w:sz w:val="24"/>
          <w:szCs w:val="24"/>
        </w:rPr>
        <w:t>131с.</w:t>
      </w:r>
    </w:p>
    <w:p w14:paraId="3BAEEA05" w14:textId="77777777" w:rsidR="00EC0334" w:rsidRDefault="00EC0334" w:rsidP="00EC0334">
      <w:pPr>
        <w:pStyle w:val="ab"/>
        <w:tabs>
          <w:tab w:val="left" w:pos="0"/>
        </w:tabs>
        <w:autoSpaceDE w:val="0"/>
        <w:autoSpaceDN w:val="0"/>
        <w:adjustRightInd w:val="0"/>
        <w:spacing w:after="0"/>
        <w:ind w:left="0"/>
        <w:rPr>
          <w:rFonts w:ascii="Times New Roman" w:eastAsia="Newton-Regular" w:hAnsi="Times New Roman" w:cs="Times New Roman"/>
          <w:sz w:val="24"/>
          <w:szCs w:val="24"/>
        </w:rPr>
      </w:pPr>
      <w:r>
        <w:rPr>
          <w:rFonts w:ascii="Times New Roman" w:hAnsi="Times New Roman" w:cs="Times New Roman"/>
          <w:iCs/>
          <w:sz w:val="24"/>
          <w:szCs w:val="24"/>
          <w:shd w:val="clear" w:color="auto" w:fill="FFFFFF"/>
          <w:lang w:val="kk-KZ"/>
        </w:rPr>
        <w:t xml:space="preserve">11. </w:t>
      </w:r>
      <w:r>
        <w:rPr>
          <w:rFonts w:ascii="Times New Roman" w:hAnsi="Times New Roman" w:cs="Times New Roman"/>
          <w:iCs/>
          <w:sz w:val="24"/>
          <w:szCs w:val="24"/>
          <w:shd w:val="clear" w:color="auto" w:fill="FFFFFF"/>
        </w:rPr>
        <w:t>Литвак, Б. Г. </w:t>
      </w:r>
      <w:r>
        <w:rPr>
          <w:rFonts w:ascii="Times New Roman" w:hAnsi="Times New Roman" w:cs="Times New Roman"/>
          <w:sz w:val="24"/>
          <w:szCs w:val="24"/>
          <w:shd w:val="clear" w:color="auto" w:fill="FFFFFF"/>
        </w:rPr>
        <w:t>Стратегический менеджмент</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Москва:  </w:t>
      </w:r>
      <w:proofErr w:type="spellStart"/>
      <w:r>
        <w:rPr>
          <w:rFonts w:ascii="Times New Roman" w:hAnsi="Times New Roman" w:cs="Times New Roman"/>
          <w:sz w:val="24"/>
          <w:szCs w:val="24"/>
          <w:shd w:val="clear" w:color="auto" w:fill="FFFFFF"/>
        </w:rPr>
        <w:t>Юрайт</w:t>
      </w:r>
      <w:proofErr w:type="spellEnd"/>
      <w:proofErr w:type="gramEnd"/>
      <w:r>
        <w:rPr>
          <w:rFonts w:ascii="Times New Roman" w:hAnsi="Times New Roman" w:cs="Times New Roman"/>
          <w:sz w:val="24"/>
          <w:szCs w:val="24"/>
          <w:shd w:val="clear" w:color="auto" w:fill="FFFFFF"/>
        </w:rPr>
        <w:t>, 2017. — 507 с. </w:t>
      </w:r>
    </w:p>
    <w:p w14:paraId="405483E7" w14:textId="77777777" w:rsidR="00EC0334" w:rsidRDefault="00EC0334" w:rsidP="00EC0334">
      <w:pPr>
        <w:pStyle w:val="ab"/>
        <w:spacing w:after="0"/>
        <w:ind w:left="0"/>
        <w:rPr>
          <w:rFonts w:ascii="Times New Roman" w:eastAsiaTheme="minorEastAsia" w:hAnsi="Times New Roman" w:cs="Times New Roman"/>
          <w:sz w:val="22"/>
          <w:szCs w:val="22"/>
        </w:rPr>
      </w:pPr>
      <w:r>
        <w:rPr>
          <w:rFonts w:ascii="Times New Roman" w:hAnsi="Times New Roman" w:cs="Times New Roman"/>
          <w:sz w:val="24"/>
          <w:szCs w:val="24"/>
          <w:lang w:val="kk-KZ"/>
        </w:rPr>
        <w:t xml:space="preserve">12. </w:t>
      </w:r>
      <w:proofErr w:type="spellStart"/>
      <w:r>
        <w:rPr>
          <w:rFonts w:ascii="Times New Roman" w:hAnsi="Times New Roman" w:cs="Times New Roman"/>
          <w:sz w:val="24"/>
          <w:szCs w:val="24"/>
        </w:rPr>
        <w:t>Михненко</w:t>
      </w:r>
      <w:proofErr w:type="spellEnd"/>
      <w:r>
        <w:rPr>
          <w:rFonts w:ascii="Times New Roman" w:hAnsi="Times New Roman" w:cs="Times New Roman"/>
          <w:sz w:val="24"/>
          <w:szCs w:val="24"/>
        </w:rPr>
        <w:t xml:space="preserve"> П.А., Волкова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Дрондин</w:t>
      </w:r>
      <w:proofErr w:type="spellEnd"/>
      <w:r>
        <w:rPr>
          <w:rFonts w:ascii="Times New Roman" w:hAnsi="Times New Roman" w:cs="Times New Roman"/>
          <w:sz w:val="24"/>
          <w:szCs w:val="24"/>
        </w:rPr>
        <w:t xml:space="preserve"> А.Л., </w:t>
      </w:r>
      <w:proofErr w:type="spellStart"/>
      <w:r>
        <w:rPr>
          <w:rFonts w:ascii="Times New Roman" w:hAnsi="Times New Roman" w:cs="Times New Roman"/>
          <w:sz w:val="24"/>
          <w:szCs w:val="24"/>
        </w:rPr>
        <w:t>Вегера</w:t>
      </w:r>
      <w:proofErr w:type="spellEnd"/>
      <w:r>
        <w:rPr>
          <w:rFonts w:ascii="Times New Roman" w:hAnsi="Times New Roman" w:cs="Times New Roman"/>
          <w:sz w:val="24"/>
          <w:szCs w:val="24"/>
        </w:rPr>
        <w:t xml:space="preserve"> А.В. Стратегический менеджмент. – М.: </w:t>
      </w:r>
      <w:proofErr w:type="spellStart"/>
      <w:r>
        <w:rPr>
          <w:rFonts w:ascii="Times New Roman" w:hAnsi="Times New Roman" w:cs="Times New Roman"/>
          <w:sz w:val="24"/>
          <w:szCs w:val="24"/>
        </w:rPr>
        <w:t>Синерги</w:t>
      </w:r>
      <w:proofErr w:type="spellEnd"/>
      <w:r>
        <w:rPr>
          <w:rFonts w:ascii="Times New Roman" w:hAnsi="Times New Roman" w:cs="Times New Roman"/>
          <w:sz w:val="24"/>
          <w:szCs w:val="24"/>
          <w:lang w:val="kk-KZ"/>
        </w:rPr>
        <w:t>я</w:t>
      </w:r>
      <w:r>
        <w:rPr>
          <w:rFonts w:ascii="Times New Roman" w:hAnsi="Times New Roman" w:cs="Times New Roman"/>
          <w:sz w:val="24"/>
          <w:szCs w:val="24"/>
        </w:rPr>
        <w:t>, 2018. – 279 с.</w:t>
      </w:r>
    </w:p>
    <w:p w14:paraId="055516B4" w14:textId="77777777" w:rsidR="00EC0334" w:rsidRDefault="00EC0334" w:rsidP="00EC0334">
      <w:pPr>
        <w:rPr>
          <w:rFonts w:ascii="Times New Roman" w:hAnsi="Times New Roman" w:cs="Times New Roman"/>
          <w:sz w:val="24"/>
          <w:szCs w:val="24"/>
        </w:rPr>
      </w:pPr>
      <w:r>
        <w:rPr>
          <w:rFonts w:ascii="Times New Roman" w:hAnsi="Times New Roman" w:cs="Times New Roman"/>
          <w:sz w:val="24"/>
          <w:szCs w:val="24"/>
          <w:lang w:val="kk-KZ"/>
        </w:rPr>
        <w:t xml:space="preserve">13. </w:t>
      </w:r>
      <w:r>
        <w:rPr>
          <w:rFonts w:ascii="Times New Roman" w:hAnsi="Times New Roman" w:cs="Times New Roman"/>
          <w:sz w:val="24"/>
          <w:szCs w:val="24"/>
        </w:rPr>
        <w:t xml:space="preserve">Петров </w:t>
      </w:r>
      <w:proofErr w:type="gramStart"/>
      <w:r>
        <w:rPr>
          <w:rFonts w:ascii="Times New Roman" w:hAnsi="Times New Roman" w:cs="Times New Roman"/>
          <w:sz w:val="24"/>
          <w:szCs w:val="24"/>
        </w:rPr>
        <w:t>А.Н.</w:t>
      </w:r>
      <w:proofErr w:type="gramEnd"/>
      <w:r>
        <w:rPr>
          <w:rFonts w:ascii="Times New Roman" w:hAnsi="Times New Roman" w:cs="Times New Roman"/>
          <w:sz w:val="24"/>
          <w:szCs w:val="24"/>
        </w:rPr>
        <w:t xml:space="preserve"> Стратегический менеджмент – М.: Питер, 2015. – 400 с</w:t>
      </w:r>
    </w:p>
    <w:p w14:paraId="2C54AC71" w14:textId="77777777" w:rsidR="00EC0334" w:rsidRDefault="00EC0334" w:rsidP="00EC0334">
      <w:pPr>
        <w:rPr>
          <w:rFonts w:ascii="Times New Roman" w:hAnsi="Times New Roman" w:cs="Times New Roman"/>
          <w:sz w:val="24"/>
          <w:szCs w:val="24"/>
          <w:lang w:val="kk-KZ"/>
        </w:rPr>
      </w:pPr>
      <w:r>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4768359B" w14:textId="77777777" w:rsidR="00EC0334" w:rsidRDefault="00EC0334" w:rsidP="00EC0334">
      <w:pPr>
        <w:rPr>
          <w:rFonts w:ascii="Times New Roman" w:hAnsi="Times New Roman" w:cs="Times New Roman"/>
          <w:sz w:val="24"/>
          <w:szCs w:val="24"/>
          <w:lang w:val="kk-KZ"/>
        </w:rPr>
      </w:pPr>
      <w:r>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03DD4AE3" w14:textId="77777777" w:rsidR="00EC0334" w:rsidRDefault="00EC0334" w:rsidP="00EC0334">
      <w:pPr>
        <w:pStyle w:val="ab"/>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t xml:space="preserve">16. </w:t>
      </w:r>
      <w:proofErr w:type="spellStart"/>
      <w:r>
        <w:rPr>
          <w:rFonts w:ascii="Times New Roman" w:hAnsi="Times New Roman" w:cs="Times New Roman"/>
          <w:sz w:val="24"/>
          <w:szCs w:val="24"/>
        </w:rPr>
        <w:t>Шичиях</w:t>
      </w:r>
      <w:proofErr w:type="spellEnd"/>
      <w:r>
        <w:rPr>
          <w:rFonts w:ascii="Times New Roman" w:hAnsi="Times New Roman" w:cs="Times New Roman"/>
          <w:sz w:val="24"/>
          <w:szCs w:val="24"/>
        </w:rPr>
        <w:t xml:space="preserve"> Р. А. Стратегический анализ – Краснодар: </w:t>
      </w:r>
      <w:proofErr w:type="spellStart"/>
      <w:r>
        <w:rPr>
          <w:rFonts w:ascii="Times New Roman" w:hAnsi="Times New Roman" w:cs="Times New Roman"/>
          <w:sz w:val="24"/>
          <w:szCs w:val="24"/>
        </w:rPr>
        <w:t>КубГАУ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Pr>
          <w:rFonts w:ascii="Times New Roman" w:hAnsi="Times New Roman" w:cs="Times New Roman"/>
          <w:sz w:val="24"/>
          <w:szCs w:val="24"/>
          <w:lang w:val="kk-KZ"/>
        </w:rPr>
        <w:t>20</w:t>
      </w:r>
      <w:r>
        <w:rPr>
          <w:rFonts w:ascii="Times New Roman" w:hAnsi="Times New Roman" w:cs="Times New Roman"/>
          <w:sz w:val="24"/>
          <w:szCs w:val="24"/>
        </w:rPr>
        <w:t xml:space="preserve"> – 232</w:t>
      </w:r>
      <w:proofErr w:type="gramEnd"/>
      <w:r>
        <w:rPr>
          <w:rFonts w:ascii="Times New Roman" w:hAnsi="Times New Roman" w:cs="Times New Roman"/>
          <w:sz w:val="24"/>
          <w:szCs w:val="24"/>
        </w:rPr>
        <w:t xml:space="preserve"> с.</w:t>
      </w:r>
    </w:p>
    <w:p w14:paraId="5B8E9631" w14:textId="77777777" w:rsidR="00EC0334" w:rsidRDefault="00EC0334" w:rsidP="00EC0334">
      <w:pPr>
        <w:pStyle w:val="ab"/>
        <w:tabs>
          <w:tab w:val="left" w:pos="0"/>
        </w:tabs>
        <w:autoSpaceDE w:val="0"/>
        <w:autoSpaceDN w:val="0"/>
        <w:adjustRightInd w:val="0"/>
        <w:spacing w:after="0" w:line="240" w:lineRule="auto"/>
        <w:ind w:left="0"/>
        <w:jc w:val="both"/>
        <w:rPr>
          <w:rFonts w:ascii="Times New Roman" w:hAnsi="Times New Roman" w:cs="Times New Roman"/>
          <w:sz w:val="24"/>
          <w:szCs w:val="24"/>
        </w:rPr>
      </w:pPr>
    </w:p>
    <w:p w14:paraId="0824CAB1" w14:textId="77777777" w:rsidR="00EC0334" w:rsidRDefault="00EC0334" w:rsidP="00EC0334">
      <w:pPr>
        <w:tabs>
          <w:tab w:val="left" w:pos="39"/>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Қосымша әдебиеттер:</w:t>
      </w:r>
    </w:p>
    <w:p w14:paraId="0680A991" w14:textId="77777777" w:rsidR="00EC0334" w:rsidRPr="00EC0334" w:rsidRDefault="00EC0334" w:rsidP="00EC0334">
      <w:pPr>
        <w:pStyle w:val="ab"/>
        <w:numPr>
          <w:ilvl w:val="0"/>
          <w:numId w:val="4"/>
        </w:numPr>
        <w:spacing w:after="0" w:line="240" w:lineRule="auto"/>
        <w:ind w:left="0"/>
        <w:rPr>
          <w:rStyle w:val="a8"/>
          <w:color w:val="212529"/>
          <w:sz w:val="22"/>
          <w:szCs w:val="22"/>
          <w:shd w:val="clear" w:color="auto" w:fill="F4F4F4"/>
          <w:lang w:val="kk-KZ"/>
        </w:rPr>
      </w:pPr>
      <w:r>
        <w:rPr>
          <w:rStyle w:val="a8"/>
          <w:b w:val="0"/>
          <w:bCs w:val="0"/>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10F5DB2C" w14:textId="77777777" w:rsidR="00EC0334" w:rsidRPr="00EC0334" w:rsidRDefault="00EC0334" w:rsidP="00EC0334">
      <w:pPr>
        <w:pStyle w:val="ab"/>
        <w:numPr>
          <w:ilvl w:val="0"/>
          <w:numId w:val="4"/>
        </w:numPr>
        <w:spacing w:after="0" w:line="240" w:lineRule="auto"/>
        <w:ind w:left="0"/>
        <w:jc w:val="both"/>
        <w:rPr>
          <w:rFonts w:ascii="Times New Roman" w:eastAsia="Times New Roman" w:hAnsi="Times New Roman" w:cs="Times New Roman"/>
          <w:lang w:val="kk-KZ"/>
        </w:rPr>
      </w:pPr>
      <w:r>
        <w:rPr>
          <w:rStyle w:val="a8"/>
          <w:b w:val="0"/>
          <w:bCs w:val="0"/>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42E5E301" w14:textId="77777777" w:rsidR="00EC0334" w:rsidRDefault="00EC0334" w:rsidP="00EC0334">
      <w:pPr>
        <w:pStyle w:val="ab"/>
        <w:numPr>
          <w:ilvl w:val="0"/>
          <w:numId w:val="4"/>
        </w:numPr>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8"/>
          <w:b w:val="0"/>
          <w:bCs w:val="0"/>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084263CD" w14:textId="77777777" w:rsidR="00EC0334" w:rsidRDefault="00EC0334" w:rsidP="00EC0334">
      <w:pPr>
        <w:pStyle w:val="ab"/>
        <w:numPr>
          <w:ilvl w:val="0"/>
          <w:numId w:val="4"/>
        </w:numPr>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Style w:val="a8"/>
          <w:b w:val="0"/>
          <w:bCs w:val="0"/>
          <w:color w:val="212529"/>
          <w:sz w:val="24"/>
          <w:szCs w:val="24"/>
          <w:shd w:val="clear" w:color="auto" w:fill="F4F4F4"/>
          <w:lang w:val="kk-KZ"/>
        </w:rPr>
        <w:t xml:space="preserve"> Стивен П. Роббинс, Тимати А. Джадж   </w:t>
      </w:r>
      <w:r>
        <w:rPr>
          <w:rFonts w:ascii="Times New Roman" w:hAnsi="Times New Roman" w:cs="Times New Roman"/>
          <w:color w:val="212529"/>
          <w:sz w:val="24"/>
          <w:szCs w:val="24"/>
          <w:shd w:val="clear" w:color="auto" w:fill="F4F4F4"/>
          <w:lang w:val="kk-KZ"/>
        </w:rPr>
        <w:br/>
      </w:r>
      <w:r>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75FB590E" w14:textId="77777777" w:rsidR="00EC0334" w:rsidRPr="00EC0334" w:rsidRDefault="00EC0334" w:rsidP="00EC0334">
      <w:pPr>
        <w:pStyle w:val="ab"/>
        <w:numPr>
          <w:ilvl w:val="0"/>
          <w:numId w:val="4"/>
        </w:numPr>
        <w:tabs>
          <w:tab w:val="left" w:pos="39"/>
        </w:tabs>
        <w:spacing w:after="0" w:line="240" w:lineRule="auto"/>
        <w:ind w:left="0"/>
        <w:jc w:val="both"/>
        <w:rPr>
          <w:rStyle w:val="a8"/>
          <w:b w:val="0"/>
          <w:bCs w:val="0"/>
          <w:color w:val="212529"/>
          <w:sz w:val="22"/>
          <w:szCs w:val="22"/>
          <w:shd w:val="clear" w:color="auto" w:fill="F4F4F4"/>
          <w:lang w:val="kk-KZ"/>
        </w:rPr>
      </w:pPr>
      <w:r>
        <w:rPr>
          <w:rStyle w:val="a8"/>
          <w:b w:val="0"/>
          <w:bCs w:val="0"/>
          <w:color w:val="212529"/>
          <w:sz w:val="24"/>
          <w:szCs w:val="24"/>
          <w:shd w:val="clear" w:color="auto" w:fill="F4F4F4"/>
          <w:lang w:val="kk-KZ"/>
        </w:rPr>
        <w:t xml:space="preserve"> Р. У. Гриффин Менеджмент = Management  - Астана: "Ұлттық аударма бюросы" ҚҚ, 2018 - 766 б.</w:t>
      </w:r>
    </w:p>
    <w:p w14:paraId="46946705" w14:textId="77777777" w:rsidR="00EC0334" w:rsidRDefault="00EC0334" w:rsidP="00EC0334">
      <w:pPr>
        <w:pStyle w:val="ab"/>
        <w:numPr>
          <w:ilvl w:val="0"/>
          <w:numId w:val="4"/>
        </w:numPr>
        <w:tabs>
          <w:tab w:val="left" w:pos="39"/>
        </w:tabs>
        <w:spacing w:after="0" w:line="240" w:lineRule="auto"/>
        <w:ind w:left="0"/>
        <w:jc w:val="both"/>
        <w:rPr>
          <w:rStyle w:val="a8"/>
          <w:rFonts w:eastAsiaTheme="minorEastAsia"/>
          <w:b w:val="0"/>
          <w:bCs w:val="0"/>
          <w:color w:val="212529"/>
          <w:sz w:val="24"/>
          <w:szCs w:val="24"/>
          <w:shd w:val="clear" w:color="auto" w:fill="F4F4F4"/>
          <w:lang w:val="kk-KZ"/>
        </w:rPr>
      </w:pPr>
      <w:r>
        <w:rPr>
          <w:rStyle w:val="a8"/>
          <w:b w:val="0"/>
          <w:bCs w:val="0"/>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6410B40" w14:textId="77777777" w:rsidR="00EC0334" w:rsidRDefault="00EC0334" w:rsidP="00EC0334">
      <w:pPr>
        <w:pStyle w:val="ab"/>
        <w:numPr>
          <w:ilvl w:val="0"/>
          <w:numId w:val="4"/>
        </w:numPr>
        <w:tabs>
          <w:tab w:val="left" w:pos="39"/>
        </w:tabs>
        <w:spacing w:after="0" w:line="240" w:lineRule="auto"/>
        <w:ind w:left="0"/>
        <w:jc w:val="both"/>
        <w:rPr>
          <w:rStyle w:val="a8"/>
          <w:b w:val="0"/>
          <w:bCs w:val="0"/>
          <w:color w:val="212529"/>
          <w:sz w:val="24"/>
          <w:szCs w:val="24"/>
          <w:shd w:val="clear" w:color="auto" w:fill="F4F4F4"/>
          <w:lang w:val="kk-KZ"/>
        </w:rPr>
      </w:pPr>
      <w:r>
        <w:rPr>
          <w:rStyle w:val="a8"/>
          <w:b w:val="0"/>
          <w:bCs w:val="0"/>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Pr>
          <w:rStyle w:val="af8"/>
          <w:rFonts w:ascii="Times New Roman" w:hAnsi="Times New Roman" w:cs="Times New Roman"/>
          <w:sz w:val="24"/>
          <w:szCs w:val="24"/>
        </w:rPr>
        <w:commentReference w:id="0"/>
      </w:r>
    </w:p>
    <w:p w14:paraId="48596752" w14:textId="77777777" w:rsidR="00EC0334" w:rsidRDefault="00EC0334" w:rsidP="00EC0334">
      <w:pPr>
        <w:pStyle w:val="ab"/>
        <w:numPr>
          <w:ilvl w:val="0"/>
          <w:numId w:val="4"/>
        </w:numPr>
        <w:tabs>
          <w:tab w:val="left" w:pos="1110"/>
        </w:tabs>
        <w:spacing w:after="0" w:line="240" w:lineRule="auto"/>
        <w:ind w:left="0"/>
        <w:rPr>
          <w:rStyle w:val="a8"/>
          <w:b w:val="0"/>
          <w:bCs w:val="0"/>
          <w:color w:val="212529"/>
          <w:sz w:val="24"/>
          <w:szCs w:val="24"/>
          <w:shd w:val="clear" w:color="auto" w:fill="F4F4F4"/>
          <w:lang w:val="kk-KZ"/>
        </w:rPr>
      </w:pPr>
      <w:r>
        <w:rPr>
          <w:rStyle w:val="a8"/>
          <w:b w:val="0"/>
          <w:bCs w:val="0"/>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28DDA329" w14:textId="77777777" w:rsidR="00EC0334" w:rsidRPr="00EC0334" w:rsidRDefault="00EC0334" w:rsidP="00EC0334">
      <w:pPr>
        <w:rPr>
          <w:rFonts w:ascii="Times New Roman" w:hAnsi="Times New Roman" w:cs="Times New Roman"/>
          <w:sz w:val="22"/>
          <w:szCs w:val="22"/>
          <w:lang w:val="kk-KZ"/>
        </w:rPr>
      </w:pPr>
      <w:r>
        <w:rPr>
          <w:rStyle w:val="a8"/>
          <w:b w:val="0"/>
          <w:bCs w:val="0"/>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5A3DAED5" w14:textId="77777777" w:rsidR="00F12C76" w:rsidRPr="00EC0334" w:rsidRDefault="00F12C76" w:rsidP="006C0B77">
      <w:pPr>
        <w:spacing w:after="0"/>
        <w:ind w:firstLine="709"/>
        <w:jc w:val="both"/>
        <w:rPr>
          <w:lang w:val="kk-KZ"/>
        </w:rPr>
      </w:pPr>
    </w:p>
    <w:sectPr w:rsidR="00F12C76" w:rsidRPr="00EC0334"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59C924B9" w14:textId="77777777" w:rsidR="00EC0334" w:rsidRDefault="00EC0334" w:rsidP="00EC0334">
      <w:pPr>
        <w:pStyle w:val="af6"/>
      </w:pPr>
      <w:r>
        <w:rPr>
          <w:rStyle w:val="af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924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4A71" w16cex:dateUtc="2021-09-2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924B9" w16cid:durableId="24F74A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42"/>
    <w:rsid w:val="00010558"/>
    <w:rsid w:val="00685642"/>
    <w:rsid w:val="006C0B77"/>
    <w:rsid w:val="006F1C33"/>
    <w:rsid w:val="008242FF"/>
    <w:rsid w:val="00870751"/>
    <w:rsid w:val="00922C48"/>
    <w:rsid w:val="00B915B7"/>
    <w:rsid w:val="00C22983"/>
    <w:rsid w:val="00EA59DF"/>
    <w:rsid w:val="00EC033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D27"/>
  <w15:chartTrackingRefBased/>
  <w15:docId w15:val="{8DEA046B-3E97-4494-A736-EBD8C6AC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83"/>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EC0334"/>
    <w:rPr>
      <w:color w:val="0000FF"/>
      <w:u w:val="single"/>
    </w:rPr>
  </w:style>
  <w:style w:type="paragraph" w:styleId="af6">
    <w:name w:val="annotation text"/>
    <w:basedOn w:val="a"/>
    <w:link w:val="af7"/>
    <w:uiPriority w:val="99"/>
    <w:semiHidden/>
    <w:unhideWhenUsed/>
    <w:rsid w:val="00EC0334"/>
    <w:pPr>
      <w:spacing w:after="0" w:line="240" w:lineRule="auto"/>
    </w:pPr>
    <w:rPr>
      <w:sz w:val="20"/>
      <w:szCs w:val="20"/>
    </w:rPr>
  </w:style>
  <w:style w:type="character" w:customStyle="1" w:styleId="af7">
    <w:name w:val="Текст примечания Знак"/>
    <w:basedOn w:val="a0"/>
    <w:link w:val="af6"/>
    <w:uiPriority w:val="99"/>
    <w:semiHidden/>
    <w:rsid w:val="00EC0334"/>
    <w:rPr>
      <w:sz w:val="20"/>
      <w:szCs w:val="20"/>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EC0334"/>
  </w:style>
  <w:style w:type="character" w:styleId="af8">
    <w:name w:val="annotation reference"/>
    <w:basedOn w:val="a0"/>
    <w:uiPriority w:val="99"/>
    <w:semiHidden/>
    <w:unhideWhenUsed/>
    <w:rsid w:val="00EC03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36039">
      <w:bodyDiv w:val="1"/>
      <w:marLeft w:val="0"/>
      <w:marRight w:val="0"/>
      <w:marTop w:val="0"/>
      <w:marBottom w:val="0"/>
      <w:divBdr>
        <w:top w:val="none" w:sz="0" w:space="0" w:color="auto"/>
        <w:left w:val="none" w:sz="0" w:space="0" w:color="auto"/>
        <w:bottom w:val="none" w:sz="0" w:space="0" w:color="auto"/>
        <w:right w:val="none" w:sz="0" w:space="0" w:color="auto"/>
      </w:divBdr>
    </w:div>
    <w:div w:id="20557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koreajob.ru/kk/socialnoe-neravenstvo-osnovnye-podhody-istoricheskie-i-sovremennye-for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2021-09-23T05:50:00Z</dcterms:created>
  <dcterms:modified xsi:type="dcterms:W3CDTF">2021-09-23T12:49:00Z</dcterms:modified>
</cp:coreProperties>
</file>